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E54FBF" w:rsidRDefault="00E54FBF" w:rsidP="00C92DD8"/>
    <w:p w:rsidR="00E54FBF" w:rsidRDefault="00E54FBF" w:rsidP="00C92DD8"/>
    <w:p w:rsidR="00E54FBF" w:rsidRDefault="00E54FBF" w:rsidP="00C92DD8"/>
    <w:p w:rsidR="00E54FBF" w:rsidRPr="009B2CD2" w:rsidRDefault="00E54FBF" w:rsidP="00C92DD8"/>
    <w:p w:rsidR="006A3710" w:rsidRPr="009B2CD2" w:rsidRDefault="006A3710" w:rsidP="00C92DD8"/>
    <w:p w:rsidR="006A3710" w:rsidRPr="009B2CD2" w:rsidRDefault="006A3710" w:rsidP="00C92DD8"/>
    <w:p w:rsidR="006A3710" w:rsidRPr="009B2CD2" w:rsidRDefault="006A3710" w:rsidP="00C92DD8"/>
    <w:p w:rsidR="006A3710" w:rsidRPr="009B2CD2" w:rsidRDefault="002479C5" w:rsidP="00C92DD8">
      <w:pPr>
        <w:jc w:val="center"/>
      </w:pPr>
      <w:r w:rsidRPr="009B2CD2">
        <w:rPr>
          <w:rFonts w:eastAsia="Times New Roman"/>
        </w:rPr>
        <w:t>Miller v. Alabama</w:t>
      </w:r>
    </w:p>
    <w:p w:rsidR="00CB5B41" w:rsidRPr="009B2CD2" w:rsidRDefault="00527083" w:rsidP="00C92DD8">
      <w:pPr>
        <w:jc w:val="center"/>
      </w:pPr>
      <w:r w:rsidRPr="009B2CD2">
        <w:t xml:space="preserve">Student’s </w:t>
      </w:r>
      <w:r w:rsidR="00CB5B41" w:rsidRPr="009B2CD2">
        <w:t>Name</w:t>
      </w:r>
    </w:p>
    <w:p w:rsidR="00CB5B41" w:rsidRPr="009B2CD2" w:rsidRDefault="00CB5B41" w:rsidP="00C92DD8">
      <w:pPr>
        <w:jc w:val="center"/>
      </w:pPr>
      <w:r w:rsidRPr="009B2CD2">
        <w:t>Academic Institution</w:t>
      </w:r>
    </w:p>
    <w:p w:rsidR="006A3710" w:rsidRPr="009B2CD2" w:rsidRDefault="00527083" w:rsidP="00C92DD8">
      <w:pPr>
        <w:jc w:val="center"/>
      </w:pPr>
      <w:r w:rsidRPr="009B2CD2">
        <w:t>Date</w:t>
      </w:r>
    </w:p>
    <w:p w:rsidR="006A3710" w:rsidRPr="009B2CD2" w:rsidRDefault="006A3710" w:rsidP="00C92DD8">
      <w:pPr>
        <w:jc w:val="center"/>
      </w:pPr>
    </w:p>
    <w:p w:rsidR="006A3710" w:rsidRPr="009B2CD2" w:rsidRDefault="006A3710" w:rsidP="00C92DD8">
      <w:pPr>
        <w:jc w:val="center"/>
      </w:pPr>
    </w:p>
    <w:p w:rsidR="00CB5B41" w:rsidRPr="009B2CD2" w:rsidRDefault="00CB5B41" w:rsidP="00C92DD8">
      <w:pPr>
        <w:jc w:val="center"/>
      </w:pPr>
    </w:p>
    <w:p w:rsidR="00527083" w:rsidRPr="009B2CD2" w:rsidRDefault="00527083">
      <w:pPr>
        <w:spacing w:line="240" w:lineRule="auto"/>
      </w:pPr>
      <w:r w:rsidRPr="009B2CD2">
        <w:br w:type="page"/>
      </w:r>
    </w:p>
    <w:p w:rsidR="004D6A5D" w:rsidRPr="009B2CD2" w:rsidRDefault="007A51A5" w:rsidP="007A51A5">
      <w:pPr>
        <w:jc w:val="center"/>
      </w:pPr>
      <w:r w:rsidRPr="009B2CD2">
        <w:lastRenderedPageBreak/>
        <w:t>Miller v. Alabama</w:t>
      </w:r>
    </w:p>
    <w:p w:rsidR="009D5A2A" w:rsidRDefault="007A51A5" w:rsidP="007A51A5">
      <w:r w:rsidRPr="009B2CD2">
        <w:tab/>
      </w:r>
      <w:r w:rsidR="00B25942" w:rsidRPr="009B2CD2">
        <w:t>The United States Supreme Court is the highest court</w:t>
      </w:r>
      <w:r w:rsidR="00835B4D" w:rsidRPr="009B2CD2">
        <w:t xml:space="preserve"> in the country’s federal judiciary. </w:t>
      </w:r>
      <w:r w:rsidR="00C232EF" w:rsidRPr="009B2CD2">
        <w:t>The court is made up of nine justices</w:t>
      </w:r>
      <w:r w:rsidR="00BE548C" w:rsidRPr="009B2CD2">
        <w:t>, chief justice</w:t>
      </w:r>
      <w:r w:rsidR="009D5A2A">
        <w:t>,</w:t>
      </w:r>
      <w:r w:rsidR="00BE548C" w:rsidRPr="009B2CD2">
        <w:t xml:space="preserve"> and eight associate justices. </w:t>
      </w:r>
      <w:r w:rsidR="00A16300" w:rsidRPr="009B2CD2">
        <w:t xml:space="preserve">The court receives nearly 10000 petitions </w:t>
      </w:r>
      <w:r w:rsidR="005A0FCD" w:rsidRPr="009B2CD2">
        <w:t xml:space="preserve">for certiorari annually. </w:t>
      </w:r>
      <w:r w:rsidR="00542FCF" w:rsidRPr="009B2CD2">
        <w:t xml:space="preserve">The </w:t>
      </w:r>
      <w:r w:rsidR="00E54FBF">
        <w:t>Supreme C</w:t>
      </w:r>
      <w:r w:rsidR="00542FCF" w:rsidRPr="009B2CD2">
        <w:t>ourt, at its discretion</w:t>
      </w:r>
      <w:r w:rsidR="009D5A2A">
        <w:t>,</w:t>
      </w:r>
      <w:r w:rsidR="00542FCF" w:rsidRPr="009B2CD2">
        <w:t xml:space="preserve"> selects cases they would review. </w:t>
      </w:r>
      <w:r w:rsidR="005A0FCD" w:rsidRPr="009B2CD2">
        <w:t>About 1%</w:t>
      </w:r>
      <w:r w:rsidR="009D5A2A">
        <w:t xml:space="preserve"> of</w:t>
      </w:r>
      <w:r w:rsidR="005A0FCD" w:rsidRPr="009B2CD2">
        <w:t xml:space="preserve"> petitions are granted plenary review with oral arguments. </w:t>
      </w:r>
      <w:r w:rsidR="00542FCF" w:rsidRPr="009B2CD2">
        <w:t xml:space="preserve">Some of the cases selected for review began at either state or federal court systems. </w:t>
      </w:r>
      <w:r w:rsidR="00FB488B" w:rsidRPr="009B2CD2">
        <w:t xml:space="preserve">One of the cases </w:t>
      </w:r>
      <w:r w:rsidR="009D5A2A">
        <w:t>chosen</w:t>
      </w:r>
      <w:r w:rsidR="00FB488B" w:rsidRPr="009B2CD2">
        <w:t xml:space="preserve"> for review is Miller v. </w:t>
      </w:r>
      <w:r w:rsidR="00B2276A" w:rsidRPr="009B2CD2">
        <w:t>Alabama</w:t>
      </w:r>
      <w:r w:rsidR="00AB22FA" w:rsidRPr="009B2CD2">
        <w:t xml:space="preserve">, </w:t>
      </w:r>
      <w:r w:rsidR="00B2276A" w:rsidRPr="009B2CD2">
        <w:t>2012</w:t>
      </w:r>
      <w:r w:rsidR="00AB22FA" w:rsidRPr="009B2CD2">
        <w:t>. Miller and his friend had found Miller’s neighbor</w:t>
      </w:r>
      <w:r w:rsidR="000E7425" w:rsidRPr="009B2CD2">
        <w:t>, Cole Cannon</w:t>
      </w:r>
      <w:r w:rsidR="009D5A2A">
        <w:t>,</w:t>
      </w:r>
      <w:r w:rsidR="00AB22FA" w:rsidRPr="009B2CD2">
        <w:t xml:space="preserve"> passed out in his trailer and decided to rob him.</w:t>
      </w:r>
    </w:p>
    <w:p w:rsidR="007A51A5" w:rsidRPr="009B2CD2" w:rsidRDefault="00FF59B8" w:rsidP="007A51A5">
      <w:r w:rsidRPr="009B2CD2">
        <w:t>As they were robbing him, Cannon regained consciousness</w:t>
      </w:r>
      <w:r w:rsidR="009D5A2A">
        <w:t>,</w:t>
      </w:r>
      <w:r w:rsidRPr="009B2CD2">
        <w:t xml:space="preserve"> and a fistfight ensued.</w:t>
      </w:r>
      <w:r w:rsidR="00CC1809" w:rsidRPr="009B2CD2">
        <w:t xml:space="preserve"> Miller and one of his friends</w:t>
      </w:r>
      <w:r w:rsidR="00933C56" w:rsidRPr="009B2CD2">
        <w:t xml:space="preserve"> though</w:t>
      </w:r>
      <w:r w:rsidR="009D5A2A">
        <w:t>t</w:t>
      </w:r>
      <w:r w:rsidR="00933C56" w:rsidRPr="009B2CD2">
        <w:t xml:space="preserve"> they had </w:t>
      </w:r>
      <w:r w:rsidR="00CC1809" w:rsidRPr="009B2CD2">
        <w:t>killed Cannon and set the trailer ablaze</w:t>
      </w:r>
      <w:r w:rsidR="00933C56" w:rsidRPr="009B2CD2">
        <w:t xml:space="preserve"> to conceal evidence of the crime. Investigators revealed that Cannon was alive when his trailer was set on fire. </w:t>
      </w:r>
      <w:r w:rsidR="001C3262" w:rsidRPr="009B2CD2">
        <w:t xml:space="preserve">Miller was convicted and given life imprisonment without parole. </w:t>
      </w:r>
      <w:r w:rsidR="00724206" w:rsidRPr="009B2CD2">
        <w:t>Miller’s counsel filed a series of appeals on the state level</w:t>
      </w:r>
      <w:r w:rsidR="009D5A2A">
        <w:t>,</w:t>
      </w:r>
      <w:r w:rsidR="00724206" w:rsidRPr="009B2CD2">
        <w:t xml:space="preserve"> which </w:t>
      </w:r>
      <w:bookmarkStart w:id="0" w:name="_GoBack"/>
      <w:bookmarkEnd w:id="0"/>
      <w:r w:rsidR="00724206" w:rsidRPr="009B2CD2">
        <w:t xml:space="preserve">were denied. </w:t>
      </w:r>
      <w:r w:rsidR="006F7091" w:rsidRPr="009B2CD2">
        <w:t xml:space="preserve">The petitioner eventually filed for a writ of certiorari to the Supreme </w:t>
      </w:r>
      <w:r w:rsidR="00BB0BC7" w:rsidRPr="009B2CD2">
        <w:t>Court</w:t>
      </w:r>
      <w:r w:rsidR="009D5A2A">
        <w:t>,</w:t>
      </w:r>
      <w:r w:rsidR="006F7091" w:rsidRPr="009B2CD2">
        <w:t xml:space="preserve"> which subsequently granted a case review in 2011. </w:t>
      </w:r>
      <w:r w:rsidR="008A622B" w:rsidRPr="009B2CD2">
        <w:t>On June 25</w:t>
      </w:r>
      <w:r w:rsidR="008A622B" w:rsidRPr="009B2CD2">
        <w:rPr>
          <w:vertAlign w:val="superscript"/>
        </w:rPr>
        <w:t>th</w:t>
      </w:r>
      <w:r w:rsidR="008A622B" w:rsidRPr="009B2CD2">
        <w:t>, 2012, the court weigh</w:t>
      </w:r>
      <w:r w:rsidR="009C3E03" w:rsidRPr="009B2CD2">
        <w:t xml:space="preserve">ed on the constitutionality of life without parole sentences for minors and ruled in </w:t>
      </w:r>
      <w:r w:rsidR="006F3DD4" w:rsidRPr="009B2CD2">
        <w:t>favor of the petitioners</w:t>
      </w:r>
      <w:r w:rsidR="009B2CD2">
        <w:t xml:space="preserve"> (</w:t>
      </w:r>
      <w:r w:rsidR="009B2CD2" w:rsidRPr="009B2CD2">
        <w:rPr>
          <w:color w:val="222222"/>
          <w:shd w:val="clear" w:color="auto" w:fill="FFFFFF"/>
        </w:rPr>
        <w:t>Miller v. Alabama, 2012)</w:t>
      </w:r>
      <w:r w:rsidR="006F3DD4" w:rsidRPr="009B2CD2">
        <w:t xml:space="preserve">. </w:t>
      </w:r>
      <w:r w:rsidR="008A700E" w:rsidRPr="009B2CD2">
        <w:t>The court’s judgment was based on two cases</w:t>
      </w:r>
      <w:r w:rsidR="009D5A2A">
        <w:t xml:space="preserve">, </w:t>
      </w:r>
      <w:r w:rsidR="008A700E" w:rsidRPr="009B2CD2">
        <w:t>Miller v. Alabama and Jackson v. Hobbs</w:t>
      </w:r>
      <w:r w:rsidR="009D5A2A">
        <w:t>,</w:t>
      </w:r>
      <w:r w:rsidR="008A700E" w:rsidRPr="009B2CD2">
        <w:t xml:space="preserve"> in which all perpetrators were minors. </w:t>
      </w:r>
      <w:r w:rsidR="001F1757" w:rsidRPr="009B2CD2">
        <w:t xml:space="preserve">In this case, I agree with the majority decision that life sentences for juveniles </w:t>
      </w:r>
      <w:r w:rsidR="009D5A2A">
        <w:t>are</w:t>
      </w:r>
      <w:r w:rsidR="001F1757" w:rsidRPr="009B2CD2">
        <w:t xml:space="preserve"> unconstitutional.</w:t>
      </w:r>
    </w:p>
    <w:p w:rsidR="001F1757" w:rsidRPr="009B2CD2" w:rsidRDefault="001F1757" w:rsidP="007A51A5">
      <w:r w:rsidRPr="009B2CD2">
        <w:tab/>
      </w:r>
      <w:r w:rsidR="009208CB" w:rsidRPr="009B2CD2">
        <w:t xml:space="preserve">Studies show that the teenage brain is still under development. Although sometimes their physical growth may seem to be complete, their brain development is not yet finished. </w:t>
      </w:r>
      <w:r w:rsidR="00753C40" w:rsidRPr="009B2CD2">
        <w:rPr>
          <w:color w:val="222222"/>
          <w:shd w:val="clear" w:color="auto" w:fill="FFFFFF"/>
        </w:rPr>
        <w:t>Foulkes &amp; Blakemore (2018</w:t>
      </w:r>
      <w:r w:rsidR="00576589" w:rsidRPr="009B2CD2">
        <w:t xml:space="preserve">) </w:t>
      </w:r>
      <w:r w:rsidR="003B1534" w:rsidRPr="009B2CD2">
        <w:t xml:space="preserve">assert that brain mapping technologies show that an adolescent or </w:t>
      </w:r>
      <w:r w:rsidR="006D4623" w:rsidRPr="009B2CD2">
        <w:t>teenagers’</w:t>
      </w:r>
      <w:r w:rsidR="003B1534" w:rsidRPr="009B2CD2">
        <w:t xml:space="preserve"> brain is different from that of an adult due to the ongoing development. </w:t>
      </w:r>
      <w:r w:rsidR="00C22AAF" w:rsidRPr="009B2CD2">
        <w:t>Scientists reveal that the brain of a human being takes about 25 years to achieve full development</w:t>
      </w:r>
      <w:r w:rsidR="009D5A2A">
        <w:t>,</w:t>
      </w:r>
      <w:r w:rsidR="00C22AAF" w:rsidRPr="009B2CD2">
        <w:t xml:space="preserve"> which shows that </w:t>
      </w:r>
      <w:r w:rsidR="00C22AAF" w:rsidRPr="009B2CD2">
        <w:lastRenderedPageBreak/>
        <w:t xml:space="preserve">teenage brains cannot perform at adult levels. </w:t>
      </w:r>
      <w:r w:rsidR="00B01F8D" w:rsidRPr="009B2CD2">
        <w:t xml:space="preserve">Whereas the </w:t>
      </w:r>
      <w:r w:rsidR="004A78D4" w:rsidRPr="009B2CD2">
        <w:t>teenage behaviors can seem to be normal for parents</w:t>
      </w:r>
      <w:r w:rsidR="00E1744B" w:rsidRPr="009B2CD2">
        <w:t>, it is to the contrary as research</w:t>
      </w:r>
      <w:r w:rsidR="001F573C" w:rsidRPr="009B2CD2">
        <w:t xml:space="preserve"> indicate that patterns of brain construction during developmental years play a crucial role in shaping </w:t>
      </w:r>
      <w:r w:rsidR="00053B4F" w:rsidRPr="009B2CD2">
        <w:t>teenagers’</w:t>
      </w:r>
      <w:r w:rsidR="001F573C" w:rsidRPr="009B2CD2">
        <w:t xml:space="preserve"> actions and personality. </w:t>
      </w:r>
      <w:r w:rsidR="00B43D3A" w:rsidRPr="009B2CD2">
        <w:t xml:space="preserve">Therefore, teenagers and adolescent behaviors are biologically related. </w:t>
      </w:r>
    </w:p>
    <w:p w:rsidR="00F44BE7" w:rsidRPr="009B2CD2" w:rsidRDefault="0058465D" w:rsidP="007A51A5">
      <w:r w:rsidRPr="009B2CD2">
        <w:tab/>
      </w:r>
      <w:r w:rsidR="00475E95" w:rsidRPr="009B2CD2">
        <w:t xml:space="preserve">The human brain develops in a rather uneven way starting from the back of the head to the front during </w:t>
      </w:r>
      <w:r w:rsidR="009D5A2A">
        <w:t xml:space="preserve">the </w:t>
      </w:r>
      <w:r w:rsidR="00475E95" w:rsidRPr="009B2CD2">
        <w:t xml:space="preserve">early teenage years through to mid-20s. </w:t>
      </w:r>
      <w:r w:rsidR="00FC7DF0" w:rsidRPr="009B2CD2">
        <w:t>This shows why teenagers exhibit unusual behavior and are often subject to risk</w:t>
      </w:r>
      <w:r w:rsidR="009D5A2A">
        <w:t>-</w:t>
      </w:r>
      <w:r w:rsidR="00FC7DF0" w:rsidRPr="009B2CD2">
        <w:t xml:space="preserve">taking. </w:t>
      </w:r>
      <w:r w:rsidR="009B2CD2" w:rsidRPr="009B2CD2">
        <w:rPr>
          <w:color w:val="222222"/>
          <w:shd w:val="clear" w:color="auto" w:fill="FFFFFF"/>
        </w:rPr>
        <w:t>Foulkes &amp; Blakemore (2018</w:t>
      </w:r>
      <w:r w:rsidR="00420DFE" w:rsidRPr="009B2CD2">
        <w:t>) state</w:t>
      </w:r>
      <w:r w:rsidR="008E719D" w:rsidRPr="009B2CD2">
        <w:t xml:space="preserve"> that the </w:t>
      </w:r>
      <w:r w:rsidR="00420DFE" w:rsidRPr="009B2CD2">
        <w:t>part control</w:t>
      </w:r>
      <w:r w:rsidR="008E719D" w:rsidRPr="009B2CD2">
        <w:t>ling</w:t>
      </w:r>
      <w:r w:rsidR="00420DFE" w:rsidRPr="009B2CD2">
        <w:t xml:space="preserve"> emotion, physical activity</w:t>
      </w:r>
      <w:r w:rsidR="00BB0BC7">
        <w:t xml:space="preserve"> </w:t>
      </w:r>
      <w:r w:rsidR="008E719D" w:rsidRPr="009B2CD2">
        <w:t>and motivation develop</w:t>
      </w:r>
      <w:r w:rsidR="00BB0BC7">
        <w:t>s</w:t>
      </w:r>
      <w:r w:rsidR="008E719D" w:rsidRPr="009B2CD2">
        <w:t xml:space="preserve"> first in </w:t>
      </w:r>
      <w:r w:rsidR="00732A7C" w:rsidRPr="009B2CD2">
        <w:t xml:space="preserve">the back of the brain. </w:t>
      </w:r>
      <w:r w:rsidR="00AA5A8E" w:rsidRPr="009B2CD2">
        <w:t>The part controlling impulses and reasoning</w:t>
      </w:r>
      <w:r w:rsidR="009D5A2A">
        <w:t>,</w:t>
      </w:r>
      <w:r w:rsidR="00AA5A8E" w:rsidRPr="009B2CD2">
        <w:t xml:space="preserve"> which is referred to as the prefrontal cortex develop</w:t>
      </w:r>
      <w:r w:rsidR="009D5A2A">
        <w:t>s</w:t>
      </w:r>
      <w:r w:rsidR="00AA5A8E" w:rsidRPr="009B2CD2">
        <w:t xml:space="preserve"> last. </w:t>
      </w:r>
      <w:r w:rsidR="00DF64CE" w:rsidRPr="009B2CD2">
        <w:rPr>
          <w:color w:val="222222"/>
          <w:shd w:val="clear" w:color="auto" w:fill="FFFFFF"/>
        </w:rPr>
        <w:t>Walker et al. (2017</w:t>
      </w:r>
      <w:r w:rsidR="00AA5A8E" w:rsidRPr="009B2CD2">
        <w:t>) reveal that the prefrontal cortex does not fully mature until when one is in his or her mid</w:t>
      </w:r>
      <w:r w:rsidR="0016143D" w:rsidRPr="009B2CD2">
        <w:t xml:space="preserve">-20s. </w:t>
      </w:r>
      <w:r w:rsidR="00FF2C2A" w:rsidRPr="009B2CD2">
        <w:t>The slow development of other parts of the brain ha</w:t>
      </w:r>
      <w:r w:rsidR="009D5A2A">
        <w:t>s</w:t>
      </w:r>
      <w:r w:rsidR="00FF2C2A" w:rsidRPr="009B2CD2">
        <w:t xml:space="preserve"> implications </w:t>
      </w:r>
      <w:r w:rsidR="009D5A2A">
        <w:t>on</w:t>
      </w:r>
      <w:r w:rsidR="00BB0BC7">
        <w:t xml:space="preserve"> </w:t>
      </w:r>
      <w:r w:rsidR="0051739E" w:rsidRPr="009B2CD2">
        <w:t>teenagers’</w:t>
      </w:r>
      <w:r w:rsidR="00FF2C2A" w:rsidRPr="009B2CD2">
        <w:t xml:space="preserve"> behavior</w:t>
      </w:r>
      <w:r w:rsidR="009D5A2A">
        <w:t>, for instance,</w:t>
      </w:r>
      <w:r w:rsidR="00FF2C2A" w:rsidRPr="009B2CD2">
        <w:t xml:space="preserve"> failure to think of the negative consequences of their actions. </w:t>
      </w:r>
      <w:r w:rsidR="0051739E" w:rsidRPr="009B2CD2">
        <w:t>Teenagers</w:t>
      </w:r>
      <w:r w:rsidR="009D5A2A">
        <w:t>'</w:t>
      </w:r>
      <w:r w:rsidR="0051739E" w:rsidRPr="009B2CD2">
        <w:t xml:space="preserve"> brain development and behavior are linked closely. Whereas brain differences exist, it does not entirely mean that adolescents and young people cannot </w:t>
      </w:r>
      <w:r w:rsidR="00E234D7" w:rsidRPr="009B2CD2">
        <w:t xml:space="preserve">tell </w:t>
      </w:r>
      <w:r w:rsidR="009D5A2A">
        <w:t>the</w:t>
      </w:r>
      <w:r w:rsidR="00E234D7" w:rsidRPr="009B2CD2">
        <w:t xml:space="preserve"> difference between what is right and wrong or make good decisions. </w:t>
      </w:r>
      <w:r w:rsidR="00EE499E" w:rsidRPr="009B2CD2">
        <w:t>Additionally, it does not mean that young people should not be held accountable for their actions but creates an understanding that can help anticipate and manage their behavior.</w:t>
      </w:r>
    </w:p>
    <w:p w:rsidR="00F44BE7" w:rsidRPr="009B2CD2" w:rsidRDefault="00F44BE7">
      <w:pPr>
        <w:spacing w:line="240" w:lineRule="auto"/>
      </w:pPr>
      <w:r w:rsidRPr="009B2CD2">
        <w:br w:type="page"/>
      </w:r>
    </w:p>
    <w:p w:rsidR="0058465D" w:rsidRPr="009B2CD2" w:rsidRDefault="00F44BE7" w:rsidP="009B2CD2">
      <w:pPr>
        <w:jc w:val="center"/>
      </w:pPr>
      <w:r w:rsidRPr="009B2CD2">
        <w:lastRenderedPageBreak/>
        <w:t>References</w:t>
      </w:r>
    </w:p>
    <w:p w:rsidR="009B2CD2" w:rsidRPr="009B2CD2" w:rsidRDefault="009B2CD2" w:rsidP="009B2CD2">
      <w:pPr>
        <w:ind w:left="720" w:hanging="720"/>
      </w:pPr>
      <w:r w:rsidRPr="009B2CD2">
        <w:rPr>
          <w:color w:val="222222"/>
          <w:shd w:val="clear" w:color="auto" w:fill="FFFFFF"/>
        </w:rPr>
        <w:t>Foulkes, L., &amp; Blakemore, S. J. (2018). Studying individual differences in human adolescent brain development. </w:t>
      </w:r>
      <w:r w:rsidRPr="009B2CD2">
        <w:rPr>
          <w:i/>
          <w:iCs/>
          <w:color w:val="222222"/>
          <w:shd w:val="clear" w:color="auto" w:fill="FFFFFF"/>
        </w:rPr>
        <w:t xml:space="preserve">Nature </w:t>
      </w:r>
      <w:r w:rsidR="009D5A2A">
        <w:rPr>
          <w:i/>
          <w:iCs/>
          <w:color w:val="222222"/>
          <w:shd w:val="clear" w:color="auto" w:fill="FFFFFF"/>
        </w:rPr>
        <w:t>N</w:t>
      </w:r>
      <w:r w:rsidRPr="009B2CD2">
        <w:rPr>
          <w:i/>
          <w:iCs/>
          <w:color w:val="222222"/>
          <w:shd w:val="clear" w:color="auto" w:fill="FFFFFF"/>
        </w:rPr>
        <w:t>euroscience</w:t>
      </w:r>
      <w:r w:rsidRPr="009B2CD2">
        <w:rPr>
          <w:color w:val="222222"/>
          <w:shd w:val="clear" w:color="auto" w:fill="FFFFFF"/>
        </w:rPr>
        <w:t>, </w:t>
      </w:r>
      <w:r w:rsidRPr="009B2CD2">
        <w:rPr>
          <w:i/>
          <w:iCs/>
          <w:color w:val="222222"/>
          <w:shd w:val="clear" w:color="auto" w:fill="FFFFFF"/>
        </w:rPr>
        <w:t>21</w:t>
      </w:r>
      <w:r w:rsidRPr="009B2CD2">
        <w:rPr>
          <w:color w:val="222222"/>
          <w:shd w:val="clear" w:color="auto" w:fill="FFFFFF"/>
        </w:rPr>
        <w:t>(3), 315-323.</w:t>
      </w:r>
    </w:p>
    <w:p w:rsidR="009B2CD2" w:rsidRPr="009B2CD2" w:rsidRDefault="009B2CD2" w:rsidP="009B2CD2">
      <w:pPr>
        <w:ind w:left="720" w:hanging="720"/>
        <w:rPr>
          <w:color w:val="222222"/>
          <w:shd w:val="clear" w:color="auto" w:fill="FFFFFF"/>
        </w:rPr>
      </w:pPr>
      <w:r w:rsidRPr="009B2CD2">
        <w:rPr>
          <w:i/>
          <w:iCs/>
          <w:color w:val="222222"/>
          <w:shd w:val="clear" w:color="auto" w:fill="FFFFFF"/>
        </w:rPr>
        <w:t>Miller v. Alabama</w:t>
      </w:r>
      <w:r w:rsidRPr="009B2CD2">
        <w:rPr>
          <w:color w:val="222222"/>
          <w:shd w:val="clear" w:color="auto" w:fill="FFFFFF"/>
        </w:rPr>
        <w:t>, 132 S. Ct. 2455, 567 U.S. 460, 183 L. Ed. 2d 407</w:t>
      </w:r>
      <w:r w:rsidR="009D5A2A">
        <w:rPr>
          <w:color w:val="222222"/>
          <w:shd w:val="clear" w:color="auto" w:fill="FFFFFF"/>
        </w:rPr>
        <w:t>,</w:t>
      </w:r>
      <w:r w:rsidRPr="009B2CD2">
        <w:rPr>
          <w:color w:val="222222"/>
          <w:shd w:val="clear" w:color="auto" w:fill="FFFFFF"/>
        </w:rPr>
        <w:t xml:space="preserve"> (2012).</w:t>
      </w:r>
    </w:p>
    <w:p w:rsidR="009B2CD2" w:rsidRPr="009B2CD2" w:rsidRDefault="009B2CD2" w:rsidP="009B2CD2">
      <w:pPr>
        <w:ind w:left="720" w:hanging="720"/>
        <w:rPr>
          <w:color w:val="222222"/>
          <w:shd w:val="clear" w:color="auto" w:fill="FFFFFF"/>
        </w:rPr>
      </w:pPr>
      <w:r w:rsidRPr="009B2CD2">
        <w:rPr>
          <w:color w:val="222222"/>
          <w:shd w:val="clear" w:color="auto" w:fill="FFFFFF"/>
        </w:rPr>
        <w:t>Walker, D. M., Bell, M. R., Flores, C., Gulley, J. M., Willing, J., &amp; Paul, M. J. (2017). Adolescence and reward: making sense of neural and behavioral changes amid the chaos. </w:t>
      </w:r>
      <w:r w:rsidRPr="009B2CD2">
        <w:rPr>
          <w:i/>
          <w:iCs/>
          <w:color w:val="222222"/>
          <w:shd w:val="clear" w:color="auto" w:fill="FFFFFF"/>
        </w:rPr>
        <w:t>Journal of Neuroscience</w:t>
      </w:r>
      <w:r w:rsidRPr="009B2CD2">
        <w:rPr>
          <w:color w:val="222222"/>
          <w:shd w:val="clear" w:color="auto" w:fill="FFFFFF"/>
        </w:rPr>
        <w:t>, </w:t>
      </w:r>
      <w:r w:rsidRPr="009B2CD2">
        <w:rPr>
          <w:i/>
          <w:iCs/>
          <w:color w:val="222222"/>
          <w:shd w:val="clear" w:color="auto" w:fill="FFFFFF"/>
        </w:rPr>
        <w:t>37</w:t>
      </w:r>
      <w:r w:rsidRPr="009B2CD2">
        <w:rPr>
          <w:color w:val="222222"/>
          <w:shd w:val="clear" w:color="auto" w:fill="FFFFFF"/>
        </w:rPr>
        <w:t>(45), 10855-10866.</w:t>
      </w:r>
    </w:p>
    <w:sectPr w:rsidR="009B2CD2" w:rsidRPr="009B2CD2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B4E" w:rsidRDefault="00E37B4E" w:rsidP="004D6A5D">
      <w:pPr>
        <w:spacing w:line="240" w:lineRule="auto"/>
      </w:pPr>
      <w:r>
        <w:separator/>
      </w:r>
    </w:p>
  </w:endnote>
  <w:endnote w:type="continuationSeparator" w:id="1">
    <w:p w:rsidR="00E37B4E" w:rsidRDefault="00E37B4E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B4E" w:rsidRDefault="00E37B4E" w:rsidP="004D6A5D">
      <w:pPr>
        <w:spacing w:line="240" w:lineRule="auto"/>
      </w:pPr>
      <w:r>
        <w:separator/>
      </w:r>
    </w:p>
  </w:footnote>
  <w:footnote w:type="continuationSeparator" w:id="1">
    <w:p w:rsidR="00E37B4E" w:rsidRDefault="00E37B4E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7A51A5" w:rsidP="00CB5B41">
    <w:pPr>
      <w:pStyle w:val="Header"/>
    </w:pPr>
    <w:r>
      <w:rPr>
        <w:rFonts w:eastAsia="Times New Roman"/>
      </w:rPr>
      <w:t>MILLER V. ALABAMA</w:t>
    </w:r>
    <w:r w:rsidR="00CB5B41">
      <w:tab/>
    </w:r>
    <w:r w:rsidR="00CB5B41">
      <w:tab/>
    </w:r>
    <w:r w:rsidR="00BF563F">
      <w:fldChar w:fldCharType="begin"/>
    </w:r>
    <w:r w:rsidR="00CB5B41">
      <w:instrText xml:space="preserve"> PAGE   \* MERGEFORMAT </w:instrText>
    </w:r>
    <w:r w:rsidR="00BF563F">
      <w:fldChar w:fldCharType="separate"/>
    </w:r>
    <w:r w:rsidR="00BB0BC7">
      <w:rPr>
        <w:noProof/>
      </w:rPr>
      <w:t>4</w:t>
    </w:r>
    <w:r w:rsidR="00BF563F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7A51A5">
      <w:rPr>
        <w:rFonts w:eastAsia="Times New Roman"/>
      </w:rPr>
      <w:t>MILLER V. ALABAMA</w:t>
    </w:r>
    <w:r>
      <w:tab/>
    </w:r>
    <w:r>
      <w:tab/>
    </w:r>
    <w:r w:rsidR="00BF563F">
      <w:fldChar w:fldCharType="begin"/>
    </w:r>
    <w:r>
      <w:instrText xml:space="preserve"> PAGE   \* MERGEFORMAT </w:instrText>
    </w:r>
    <w:r w:rsidR="00BF563F">
      <w:fldChar w:fldCharType="separate"/>
    </w:r>
    <w:r w:rsidR="00BB0BC7">
      <w:rPr>
        <w:noProof/>
      </w:rPr>
      <w:t>1</w:t>
    </w:r>
    <w:r w:rsidR="00BF563F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AD701F"/>
    <w:rsid w:val="00053B4F"/>
    <w:rsid w:val="000E1322"/>
    <w:rsid w:val="000E7425"/>
    <w:rsid w:val="00147F2D"/>
    <w:rsid w:val="0016143D"/>
    <w:rsid w:val="001C3262"/>
    <w:rsid w:val="001F1757"/>
    <w:rsid w:val="001F573C"/>
    <w:rsid w:val="00207C70"/>
    <w:rsid w:val="002479C5"/>
    <w:rsid w:val="00256793"/>
    <w:rsid w:val="00282D6A"/>
    <w:rsid w:val="003B1534"/>
    <w:rsid w:val="003D39AC"/>
    <w:rsid w:val="00420DFE"/>
    <w:rsid w:val="00475E95"/>
    <w:rsid w:val="00485D1F"/>
    <w:rsid w:val="004A78D4"/>
    <w:rsid w:val="004D6A5D"/>
    <w:rsid w:val="0051739E"/>
    <w:rsid w:val="00527083"/>
    <w:rsid w:val="00542FCF"/>
    <w:rsid w:val="00576589"/>
    <w:rsid w:val="0058465D"/>
    <w:rsid w:val="005A0FCD"/>
    <w:rsid w:val="006A3710"/>
    <w:rsid w:val="006D4623"/>
    <w:rsid w:val="006F3DD4"/>
    <w:rsid w:val="006F6F55"/>
    <w:rsid w:val="006F7091"/>
    <w:rsid w:val="00724206"/>
    <w:rsid w:val="00732A7C"/>
    <w:rsid w:val="007437DC"/>
    <w:rsid w:val="00753C40"/>
    <w:rsid w:val="007A51A5"/>
    <w:rsid w:val="007D1B5A"/>
    <w:rsid w:val="00835B4D"/>
    <w:rsid w:val="008A622B"/>
    <w:rsid w:val="008A700E"/>
    <w:rsid w:val="008E719D"/>
    <w:rsid w:val="009208CB"/>
    <w:rsid w:val="00933C56"/>
    <w:rsid w:val="009343D9"/>
    <w:rsid w:val="009602C6"/>
    <w:rsid w:val="00990F1F"/>
    <w:rsid w:val="009B2CD2"/>
    <w:rsid w:val="009C3E03"/>
    <w:rsid w:val="009D2700"/>
    <w:rsid w:val="009D5A2A"/>
    <w:rsid w:val="00A16300"/>
    <w:rsid w:val="00AA5A8E"/>
    <w:rsid w:val="00AB22FA"/>
    <w:rsid w:val="00AD701F"/>
    <w:rsid w:val="00B01F8D"/>
    <w:rsid w:val="00B2276A"/>
    <w:rsid w:val="00B25942"/>
    <w:rsid w:val="00B43D3A"/>
    <w:rsid w:val="00BB0BC7"/>
    <w:rsid w:val="00BE548C"/>
    <w:rsid w:val="00BF563F"/>
    <w:rsid w:val="00C00033"/>
    <w:rsid w:val="00C22AAF"/>
    <w:rsid w:val="00C232EF"/>
    <w:rsid w:val="00C55FB0"/>
    <w:rsid w:val="00C641D0"/>
    <w:rsid w:val="00C92DD8"/>
    <w:rsid w:val="00CB5B41"/>
    <w:rsid w:val="00CC1809"/>
    <w:rsid w:val="00CD1AFC"/>
    <w:rsid w:val="00D95329"/>
    <w:rsid w:val="00DF64CE"/>
    <w:rsid w:val="00E1744B"/>
    <w:rsid w:val="00E234D7"/>
    <w:rsid w:val="00E37B4E"/>
    <w:rsid w:val="00E54FBF"/>
    <w:rsid w:val="00EE499E"/>
    <w:rsid w:val="00EE7B66"/>
    <w:rsid w:val="00F44BE7"/>
    <w:rsid w:val="00FA03E2"/>
    <w:rsid w:val="00FB488B"/>
    <w:rsid w:val="00FC7DF0"/>
    <w:rsid w:val="00FE5206"/>
    <w:rsid w:val="00FF2C2A"/>
    <w:rsid w:val="00FF5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1F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691E2AD-79FB-4EA2-9955-0F499528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4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2020-03-10T19:03:00Z</dcterms:created>
  <dcterms:modified xsi:type="dcterms:W3CDTF">2020-03-10T19:03:00Z</dcterms:modified>
</cp:coreProperties>
</file>